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F2" w:rsidRPr="00F336F2" w:rsidRDefault="00F336F2" w:rsidP="00F336F2">
      <w:pPr>
        <w:spacing w:before="375" w:after="150" w:line="240" w:lineRule="auto"/>
        <w:textAlignment w:val="top"/>
        <w:outlineLvl w:val="1"/>
        <w:rPr>
          <w:rFonts w:ascii="MyFontBold" w:eastAsia="Times New Roman" w:hAnsi="MyFontBold" w:cs="Times New Roman"/>
          <w:caps/>
          <w:color w:val="414141"/>
          <w:sz w:val="18"/>
          <w:szCs w:val="18"/>
          <w:lang w:eastAsia="ru-RU"/>
        </w:rPr>
      </w:pPr>
      <w:bookmarkStart w:id="0" w:name="_GoBack"/>
      <w:bookmarkEnd w:id="0"/>
      <w:r w:rsidRPr="00F336F2">
        <w:rPr>
          <w:rFonts w:ascii="MyFontBold" w:eastAsia="Times New Roman" w:hAnsi="MyFontBold" w:cs="Times New Roman"/>
          <w:caps/>
          <w:color w:val="414141"/>
          <w:sz w:val="18"/>
          <w:szCs w:val="18"/>
          <w:lang w:eastAsia="ru-RU"/>
        </w:rPr>
        <w:t>ИНСТРУКЦИЯ ПО СБОРКЕ ТОРГОВЫХ СТЕЛЛАЖЕЙ</w:t>
      </w:r>
    </w:p>
    <w:p w:rsidR="00F336F2" w:rsidRPr="00F336F2" w:rsidRDefault="00F336F2" w:rsidP="00F336F2">
      <w:pPr>
        <w:spacing w:after="150" w:line="240" w:lineRule="auto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Сборку следует проводить на ровной твердой горизонтальной поверхности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Вверните опоры в боковые стенки.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Вставьте заглушки в боковые стенки как показано на рис. А.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 xml:space="preserve">При помощи крючков соедините боковые стенки со стойками. Для этого установите крючки боковой стенки в нижние пазы стоек, как показано на </w:t>
      </w:r>
      <w:proofErr w:type="spellStart"/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рис.Б</w:t>
      </w:r>
      <w:proofErr w:type="spellEnd"/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. Крючки боковой стенки следует вставлять до упора. Это значит, что нижние кромки пазов и верхние края соответствующих пазов стоек должны соприкасаться. Если добиться этого не получается, можно использовать киянку.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Установите задние панели на стойки. Сборку начинайте с нижней части стойки. Нижний крючок панели должен войти в нижний паз стойки, а незамкнутая стенка стойки располагаться внутри стеллажа. При несовпадении пазов отрегулируйте опоры. Установка задних панелей с приложением усилия - не допускается. Если высота стеллажа 2,5 м, то в верхнюю часть дополнительно устанавливается задняя укороченная панель.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Установите нижнюю полку на боковые стенки.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Установите нижнюю панель в пазы заглушек боковых стенок.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Закрепите кронштейны полок на стойках на требуемой высоте. Для этого используются те же пазы, что и для задних панелей. Установите полки на кронштейны.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Установите на полки держатели ценников, а в отверстия полок - держатели передние и боковые, как показано на рис. В.</w:t>
      </w:r>
    </w:p>
    <w:p w:rsidR="00F336F2" w:rsidRPr="00F336F2" w:rsidRDefault="00F336F2" w:rsidP="00F336F2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При помощи уровня окончательно отрегулируйте опоры и установите стойки стеллажа вертикально, а полки – горизонтально.</w:t>
      </w:r>
    </w:p>
    <w:p w:rsidR="00F336F2" w:rsidRPr="00F336F2" w:rsidRDefault="00F336F2" w:rsidP="00F336F2">
      <w:pPr>
        <w:spacing w:before="375" w:after="150" w:line="240" w:lineRule="auto"/>
        <w:textAlignment w:val="top"/>
        <w:outlineLvl w:val="1"/>
        <w:rPr>
          <w:rFonts w:ascii="MyFontBold" w:eastAsia="Times New Roman" w:hAnsi="MyFontBold" w:cs="Times New Roman"/>
          <w:caps/>
          <w:color w:val="414141"/>
          <w:sz w:val="18"/>
          <w:szCs w:val="18"/>
          <w:lang w:eastAsia="ru-RU"/>
        </w:rPr>
      </w:pPr>
      <w:r w:rsidRPr="00F336F2">
        <w:rPr>
          <w:rFonts w:ascii="MyFontBold" w:eastAsia="Times New Roman" w:hAnsi="MyFontBold" w:cs="Times New Roman"/>
          <w:caps/>
          <w:color w:val="414141"/>
          <w:sz w:val="18"/>
          <w:szCs w:val="18"/>
          <w:lang w:eastAsia="ru-RU"/>
        </w:rPr>
        <w:t>СБОРКА СТЕЛЛАЖА С ФРИЗОМ И ОСТРОВНОГО СТЕЛЛАЖА ВЫПОЛНЯЕТСЯ АНАЛОГИЧНО, И ОТЛИЧАЕТСЯ ЛИШЬ СЛЕДУЮЩИМ:</w:t>
      </w:r>
    </w:p>
    <w:p w:rsidR="00F336F2" w:rsidRPr="00F336F2" w:rsidRDefault="00F336F2" w:rsidP="00F336F2">
      <w:pPr>
        <w:spacing w:before="225" w:after="150" w:line="240" w:lineRule="auto"/>
        <w:textAlignment w:val="top"/>
        <w:outlineLvl w:val="2"/>
        <w:rPr>
          <w:rFonts w:ascii="MyFontBold" w:eastAsia="Times New Roman" w:hAnsi="MyFontBold" w:cs="Times New Roman"/>
          <w:caps/>
          <w:color w:val="414141"/>
          <w:sz w:val="17"/>
          <w:szCs w:val="17"/>
          <w:lang w:eastAsia="ru-RU"/>
        </w:rPr>
      </w:pPr>
      <w:r w:rsidRPr="00F336F2">
        <w:rPr>
          <w:rFonts w:ascii="MyFontBold" w:eastAsia="Times New Roman" w:hAnsi="MyFontBold" w:cs="Times New Roman"/>
          <w:caps/>
          <w:color w:val="414141"/>
          <w:sz w:val="17"/>
          <w:szCs w:val="17"/>
          <w:lang w:eastAsia="ru-RU"/>
        </w:rPr>
        <w:t>СТЕЛЛАЖ СФРИЗОМ:</w:t>
      </w:r>
    </w:p>
    <w:p w:rsidR="00F336F2" w:rsidRPr="00F336F2" w:rsidRDefault="00F336F2" w:rsidP="00F336F2">
      <w:pPr>
        <w:spacing w:after="150" w:line="240" w:lineRule="auto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Закрепите кронштейны фриза и в верхних пазах стоек. Затем установите на них основание фриза, а после - в пазы на кронштейнах установите панель фриза.</w:t>
      </w:r>
    </w:p>
    <w:p w:rsidR="00F336F2" w:rsidRPr="00F336F2" w:rsidRDefault="00F336F2" w:rsidP="00F336F2">
      <w:pPr>
        <w:spacing w:before="225" w:after="150" w:line="240" w:lineRule="auto"/>
        <w:textAlignment w:val="top"/>
        <w:outlineLvl w:val="2"/>
        <w:rPr>
          <w:rFonts w:ascii="MyFontBold" w:eastAsia="Times New Roman" w:hAnsi="MyFontBold" w:cs="Times New Roman"/>
          <w:caps/>
          <w:color w:val="414141"/>
          <w:sz w:val="17"/>
          <w:szCs w:val="17"/>
          <w:lang w:eastAsia="ru-RU"/>
        </w:rPr>
      </w:pPr>
      <w:r w:rsidRPr="00F336F2">
        <w:rPr>
          <w:rFonts w:ascii="MyFontBold" w:eastAsia="Times New Roman" w:hAnsi="MyFontBold" w:cs="Times New Roman"/>
          <w:caps/>
          <w:color w:val="414141"/>
          <w:sz w:val="17"/>
          <w:szCs w:val="17"/>
          <w:lang w:eastAsia="ru-RU"/>
        </w:rPr>
        <w:t>ОСТРОВНОЙ СТЕЛЛАЖ:</w:t>
      </w:r>
    </w:p>
    <w:p w:rsidR="00F336F2" w:rsidRPr="00F336F2" w:rsidRDefault="00F336F2" w:rsidP="00F336F2">
      <w:pPr>
        <w:spacing w:after="150" w:line="240" w:lineRule="auto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Установите декоративную заглушку островного стеллажа наверх стеллажа и закрепите её между задними панелями.</w:t>
      </w:r>
    </w:p>
    <w:p w:rsidR="00F336F2" w:rsidRPr="00F336F2" w:rsidRDefault="00F336F2" w:rsidP="00F336F2">
      <w:pPr>
        <w:spacing w:after="150" w:line="240" w:lineRule="auto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 w:rsidRPr="00F336F2"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  <w:t>Собирая дополнительные секции стеллажа, установочные крючки размещайте в свободных пазах стоек.</w:t>
      </w:r>
    </w:p>
    <w:p w:rsidR="00F336F2" w:rsidRPr="00F336F2" w:rsidRDefault="00F336F2" w:rsidP="00F336F2">
      <w:pPr>
        <w:spacing w:after="150" w:line="240" w:lineRule="auto"/>
        <w:textAlignment w:val="top"/>
        <w:rPr>
          <w:rFonts w:ascii="MyFont" w:eastAsia="Times New Roman" w:hAnsi="MyFont" w:cs="Times New Roman"/>
          <w:color w:val="414141"/>
          <w:sz w:val="21"/>
          <w:szCs w:val="21"/>
          <w:lang w:eastAsia="ru-RU"/>
        </w:rPr>
      </w:pPr>
      <w:r>
        <w:rPr>
          <w:rFonts w:ascii="MyFont" w:eastAsia="Times New Roman" w:hAnsi="MyFont" w:cs="Times New Roman"/>
          <w:noProof/>
          <w:color w:val="414141"/>
          <w:sz w:val="21"/>
          <w:szCs w:val="21"/>
          <w:lang w:eastAsia="ru-RU"/>
        </w:rPr>
        <w:lastRenderedPageBreak/>
        <w:drawing>
          <wp:inline distT="0" distB="0" distL="0" distR="0">
            <wp:extent cx="4305300" cy="5743575"/>
            <wp:effectExtent l="0" t="0" r="0" b="9525"/>
            <wp:docPr id="5" name="Рисунок 5" descr="http://www.standes.ru/published/publicdata/DBSANTEH15/attachments/SC/images/tabl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ndes.ru/published/publicdata/DBSANTEH15/attachments/SC/images/tabl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Font" w:eastAsia="Times New Roman" w:hAnsi="MyFont" w:cs="Times New Roman"/>
          <w:noProof/>
          <w:color w:val="414141"/>
          <w:sz w:val="21"/>
          <w:szCs w:val="21"/>
          <w:lang w:eastAsia="ru-RU"/>
        </w:rPr>
        <w:lastRenderedPageBreak/>
        <w:drawing>
          <wp:inline distT="0" distB="0" distL="0" distR="0">
            <wp:extent cx="5715000" cy="6296025"/>
            <wp:effectExtent l="0" t="0" r="0" b="9525"/>
            <wp:docPr id="4" name="Рисунок 4" descr="http://www.standes.ru/published/publicdata/DBSANTEH15/attachments/SC/images/i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ndes.ru/published/publicdata/DBSANTEH15/attachments/SC/images/in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Font" w:eastAsia="Times New Roman" w:hAnsi="MyFont" w:cs="Times New Roman"/>
          <w:noProof/>
          <w:color w:val="414141"/>
          <w:sz w:val="21"/>
          <w:szCs w:val="21"/>
          <w:lang w:eastAsia="ru-RU"/>
        </w:rPr>
        <w:lastRenderedPageBreak/>
        <w:drawing>
          <wp:inline distT="0" distB="0" distL="0" distR="0">
            <wp:extent cx="5715000" cy="3028950"/>
            <wp:effectExtent l="0" t="0" r="0" b="0"/>
            <wp:docPr id="3" name="Рисунок 3" descr="http://www.standes.ru/published/publicdata/DBSANTEH15/attachments/SC/images/i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ndes.ru/published/publicdata/DBSANTEH15/attachments/SC/images/in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Font" w:eastAsia="Times New Roman" w:hAnsi="MyFont" w:cs="Times New Roman"/>
          <w:noProof/>
          <w:color w:val="414141"/>
          <w:sz w:val="21"/>
          <w:szCs w:val="21"/>
          <w:lang w:eastAsia="ru-RU"/>
        </w:rPr>
        <w:lastRenderedPageBreak/>
        <w:drawing>
          <wp:inline distT="0" distB="0" distL="0" distR="0">
            <wp:extent cx="5715000" cy="6896100"/>
            <wp:effectExtent l="0" t="0" r="0" b="0"/>
            <wp:docPr id="2" name="Рисунок 2" descr="http://www.standes.ru/published/publicdata/DBSANTEH15/attachments/SC/images/i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andes.ru/published/publicdata/DBSANTEH15/attachments/SC/images/ins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Font" w:eastAsia="Times New Roman" w:hAnsi="MyFont" w:cs="Times New Roman"/>
          <w:noProof/>
          <w:color w:val="414141"/>
          <w:sz w:val="21"/>
          <w:szCs w:val="21"/>
          <w:lang w:eastAsia="ru-RU"/>
        </w:rPr>
        <w:lastRenderedPageBreak/>
        <w:drawing>
          <wp:inline distT="0" distB="0" distL="0" distR="0">
            <wp:extent cx="5715000" cy="6896100"/>
            <wp:effectExtent l="0" t="0" r="0" b="0"/>
            <wp:docPr id="1" name="Рисунок 1" descr="http://www.standes.ru/published/publicdata/DBSANTEH15/attachments/SC/images/in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andes.ru/published/publicdata/DBSANTEH15/attachments/SC/images/ins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5A" w:rsidRPr="00F336F2" w:rsidRDefault="00E01E5A" w:rsidP="00F336F2"/>
    <w:sectPr w:rsidR="00E01E5A" w:rsidRPr="00F3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FontBold">
    <w:altName w:val="Times New Roman"/>
    <w:panose1 w:val="00000000000000000000"/>
    <w:charset w:val="00"/>
    <w:family w:val="roman"/>
    <w:notTrueType/>
    <w:pitch w:val="default"/>
  </w:font>
  <w:font w:name="My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3E60"/>
    <w:multiLevelType w:val="multilevel"/>
    <w:tmpl w:val="675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F2"/>
    <w:rsid w:val="00E01E5A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2021-03-15T17:06:00Z</dcterms:created>
  <dcterms:modified xsi:type="dcterms:W3CDTF">2021-03-15T17:07:00Z</dcterms:modified>
</cp:coreProperties>
</file>